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1670F1">
      <w:pPr>
        <w:pStyle w:val="1"/>
      </w:pPr>
      <w:r>
        <w:fldChar w:fldCharType="begin"/>
      </w:r>
      <w:r>
        <w:instrText>HYPERLINK "garantF1://403158640.0"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РФ от 6 декабря 2021 г. N 1122н</w:t>
      </w:r>
      <w:r>
        <w:rPr>
          <w:rStyle w:val="a4"/>
          <w:b w:val="0"/>
          <w:bCs w:val="0"/>
        </w:rPr>
        <w:br/>
        <w:t>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</w:t>
      </w:r>
      <w:r>
        <w:rPr>
          <w:rStyle w:val="a4"/>
          <w:b w:val="0"/>
          <w:bCs w:val="0"/>
        </w:rPr>
        <w:t>офилактических прививок"</w:t>
      </w:r>
      <w:r>
        <w:fldChar w:fldCharType="end"/>
      </w:r>
    </w:p>
    <w:p w:rsidR="00000000" w:rsidRDefault="001670F1"/>
    <w:p w:rsidR="00000000" w:rsidRDefault="001670F1">
      <w:r>
        <w:t xml:space="preserve">В соответствии со </w:t>
      </w:r>
      <w:hyperlink r:id="rId5" w:history="1">
        <w:r>
          <w:rPr>
            <w:rStyle w:val="a4"/>
          </w:rPr>
          <w:t>статьями 1</w:t>
        </w:r>
      </w:hyperlink>
      <w:r>
        <w:t xml:space="preserve">, </w:t>
      </w:r>
      <w:hyperlink r:id="rId6" w:history="1">
        <w:r>
          <w:rPr>
            <w:rStyle w:val="a4"/>
          </w:rPr>
          <w:t>9</w:t>
        </w:r>
      </w:hyperlink>
      <w:r>
        <w:t xml:space="preserve"> и </w:t>
      </w:r>
      <w:hyperlink r:id="rId7" w:history="1">
        <w:r>
          <w:rPr>
            <w:rStyle w:val="a4"/>
          </w:rPr>
          <w:t>10</w:t>
        </w:r>
      </w:hyperlink>
      <w:r>
        <w:t xml:space="preserve"> Федерального закона от 17 сентября 1998 г. N </w:t>
      </w:r>
      <w:r>
        <w:t xml:space="preserve">157-ФЗ "Об иммунопрофилактике инфекционных болезней" (Собрание законодательства Российской Федерации, 1998, N 38, ст. 4736; 2013, N 48, ст. 6165), </w:t>
      </w:r>
      <w:hyperlink r:id="rId8" w:history="1">
        <w:r>
          <w:rPr>
            <w:rStyle w:val="a4"/>
          </w:rPr>
          <w:t>подпунктами 5.2.93</w:t>
        </w:r>
      </w:hyperlink>
      <w:r>
        <w:t xml:space="preserve">, </w:t>
      </w:r>
      <w:hyperlink r:id="rId9" w:history="1">
        <w:r>
          <w:rPr>
            <w:rStyle w:val="a4"/>
          </w:rPr>
          <w:t>5.2.94</w:t>
        </w:r>
      </w:hyperlink>
      <w:r>
        <w:t xml:space="preserve"> и </w:t>
      </w:r>
      <w:hyperlink r:id="rId10" w:history="1">
        <w:r>
          <w:rPr>
            <w:rStyle w:val="a4"/>
          </w:rPr>
          <w:t>5.2.94.1 пункта 5</w:t>
        </w:r>
      </w:hyperlink>
      <w:r>
        <w:t xml:space="preserve"> Положения о Министерстве здравоохранения Российской Федерации,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 г. N 608 (Собрание </w:t>
      </w:r>
      <w:r>
        <w:t>законодательства Российской Федерации 2012, N 26, ст. 3526; 2014, N 37, ст. 4969), приказываю:</w:t>
      </w:r>
    </w:p>
    <w:p w:rsidR="00000000" w:rsidRDefault="001670F1">
      <w:bookmarkStart w:id="1" w:name="sub_1"/>
      <w:r>
        <w:t>1. Утвердить:</w:t>
      </w:r>
    </w:p>
    <w:p w:rsidR="00000000" w:rsidRDefault="001670F1">
      <w:bookmarkStart w:id="2" w:name="sub_11"/>
      <w:bookmarkEnd w:id="1"/>
      <w:r>
        <w:t xml:space="preserve">национальный календарь профилактических прививок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1670F1">
      <w:bookmarkStart w:id="3" w:name="sub_12"/>
      <w:bookmarkEnd w:id="2"/>
      <w:r>
        <w:t>календарь профилакт</w:t>
      </w:r>
      <w:r>
        <w:t xml:space="preserve">ических прививок по эпидемическим показаниям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1670F1">
      <w:bookmarkStart w:id="4" w:name="sub_13"/>
      <w:bookmarkEnd w:id="3"/>
      <w:r>
        <w:t xml:space="preserve">порядок проведения профилактических прививок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1670F1">
      <w:bookmarkStart w:id="5" w:name="sub_2"/>
      <w:bookmarkEnd w:id="4"/>
      <w:r>
        <w:t>2. Признать утратившими силу:</w:t>
      </w:r>
    </w:p>
    <w:bookmarkStart w:id="6" w:name="sub_21"/>
    <w:bookmarkEnd w:id="5"/>
    <w:p w:rsidR="00000000" w:rsidRDefault="001670F1">
      <w:r>
        <w:fldChar w:fldCharType="begin"/>
      </w:r>
      <w:r>
        <w:instrText>HYPERLINK "garantF1://70547158.0"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21 марта 2014 г. N 125н "Об утверждении национального календаря профилактических прививок и календаря профилактических прививок по эпидемическим показаниям" (за</w:t>
      </w:r>
      <w:r>
        <w:t>регистрирован Министерством юстиции Российской Федерации 25 апреля 2014 г., регистрационный N 32115);</w:t>
      </w:r>
    </w:p>
    <w:bookmarkStart w:id="7" w:name="sub_22"/>
    <w:bookmarkEnd w:id="6"/>
    <w:p w:rsidR="00000000" w:rsidRDefault="001670F1">
      <w:r>
        <w:fldChar w:fldCharType="begin"/>
      </w:r>
      <w:r>
        <w:instrText>HYPERLINK "garantF1://71336258.0"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16 июня 2016 г. N 370н "О внесении изменений в</w:t>
      </w:r>
      <w:r>
        <w:t xml:space="preserve"> приложения N 1 и 2 к приказу Министерства здравоохранения Российской Федерации от 21 марта 2014 г. N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</w:t>
      </w:r>
      <w:r>
        <w:t xml:space="preserve"> Министерством юстиции Российской Федерации 4 июля 2016 г., регистрационный N 42728);</w:t>
      </w:r>
    </w:p>
    <w:bookmarkStart w:id="8" w:name="sub_23"/>
    <w:bookmarkEnd w:id="7"/>
    <w:p w:rsidR="00000000" w:rsidRDefault="001670F1">
      <w:r>
        <w:fldChar w:fldCharType="begin"/>
      </w:r>
      <w:r>
        <w:instrText>HYPERLINK "garantF1://71575990.0"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13 апреля 2017 г. N 175н "О внесении изменений в приложения N </w:t>
      </w:r>
      <w:r>
        <w:t>1 и N 2 к приказу Министерства здравоохранения Российской Федерации от 21 марта 2014 г. N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</w:t>
      </w:r>
      <w:r>
        <w:t>ом юстиции Российской Федерации 17 мая 2017 г., регистрационный N 46745);</w:t>
      </w:r>
    </w:p>
    <w:bookmarkStart w:id="9" w:name="sub_24"/>
    <w:bookmarkEnd w:id="8"/>
    <w:p w:rsidR="00000000" w:rsidRDefault="001670F1">
      <w:r>
        <w:fldChar w:fldCharType="begin"/>
      </w:r>
      <w:r>
        <w:instrText>HYPERLINK "garantF1://72100448.0"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19 февраля 2019 г. N 69н "О внесении изменения в приложение N 2 к приказу </w:t>
      </w:r>
      <w:r>
        <w:t>Министерства здравоохранения Российской Федерации от 21 марта 2014 г. N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</w:t>
      </w:r>
      <w:r>
        <w:t>кой Федерации 19 марта 2019 г., регистрационный N 54089);</w:t>
      </w:r>
    </w:p>
    <w:bookmarkStart w:id="10" w:name="sub_25"/>
    <w:bookmarkEnd w:id="9"/>
    <w:p w:rsidR="00000000" w:rsidRDefault="001670F1">
      <w:r>
        <w:fldChar w:fldCharType="begin"/>
      </w:r>
      <w:r>
        <w:instrText>HYPERLINK "garantF1://72196024.0"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24 апреля 2019 г. N 243н "О внесении изменений в приложение N 1 к приказу Министерства здр</w:t>
      </w:r>
      <w:r>
        <w:t>авоохранения Российской Федерации от 21 марта 2014 г. N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15</w:t>
      </w:r>
      <w:r>
        <w:t xml:space="preserve"> июля 2019 г., регистрационный N 55249);</w:t>
      </w:r>
    </w:p>
    <w:bookmarkStart w:id="11" w:name="sub_26"/>
    <w:bookmarkEnd w:id="10"/>
    <w:p w:rsidR="00000000" w:rsidRDefault="001670F1">
      <w:r>
        <w:fldChar w:fldCharType="begin"/>
      </w:r>
      <w:r>
        <w:instrText>HYPERLINK "garantF1://74647290.0"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14 сентября </w:t>
      </w:r>
      <w:r>
        <w:lastRenderedPageBreak/>
        <w:t>2020 г. N 967н "О внесении изменения в приложение N 1 к приказу Министерства здравоохранения Ро</w:t>
      </w:r>
      <w:r>
        <w:t>ссийской Федерации от 21 марта 2014 г. N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12 октября 2020 г</w:t>
      </w:r>
      <w:r>
        <w:t>., регистрационный N 60329);</w:t>
      </w:r>
    </w:p>
    <w:bookmarkStart w:id="12" w:name="sub_27"/>
    <w:bookmarkEnd w:id="11"/>
    <w:p w:rsidR="00000000" w:rsidRDefault="001670F1">
      <w:r>
        <w:fldChar w:fldCharType="begin"/>
      </w:r>
      <w:r>
        <w:instrText>HYPERLINK "garantF1://74962218.0"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9 декабря 2020 г. N 1307н "О внесении изменений в календарь профилактических прививок по эпидемическим показаниям, утве</w:t>
      </w:r>
      <w:r>
        <w:t>ржденный приказом Министерства здравоохранения Российской Федерации от 21 марта 2014 г. N 125н" (зарегистрирован Министерством юстиции Российской Федерации 16 декабря 2020 г., регистрационный N 61502);</w:t>
      </w:r>
    </w:p>
    <w:bookmarkStart w:id="13" w:name="sub_28"/>
    <w:bookmarkEnd w:id="12"/>
    <w:p w:rsidR="00000000" w:rsidRDefault="001670F1">
      <w:r>
        <w:fldChar w:fldCharType="begin"/>
      </w:r>
      <w:r>
        <w:instrText>HYPERLINK "garantF1://400202352.0"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3 февраля 2021 г. N 47н "О внесении изменения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</w:t>
      </w:r>
      <w:r>
        <w:t xml:space="preserve"> г. N 125н" (зарегистрирован Министерством юстиции Российской Федерации 9 февраля 2021 г., регистрационный N 62438).</w:t>
      </w:r>
    </w:p>
    <w:bookmarkEnd w:id="13"/>
    <w:p w:rsidR="00000000" w:rsidRDefault="001670F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0F1">
            <w:pPr>
              <w:pStyle w:val="a7"/>
              <w:jc w:val="right"/>
            </w:pPr>
            <w:r>
              <w:t>М.А. Мурашко</w:t>
            </w:r>
          </w:p>
        </w:tc>
      </w:tr>
    </w:tbl>
    <w:p w:rsidR="00000000" w:rsidRDefault="001670F1"/>
    <w:p w:rsidR="00000000" w:rsidRDefault="001670F1">
      <w:pPr>
        <w:pStyle w:val="a9"/>
      </w:pPr>
      <w:r>
        <w:t>Зарегистрировано в Минюсте РФ 20 декабря 2021 г.</w:t>
      </w:r>
      <w:r>
        <w:br/>
        <w:t>Регистрационный N 66435</w:t>
      </w:r>
    </w:p>
    <w:p w:rsidR="00000000" w:rsidRDefault="001670F1"/>
    <w:p w:rsidR="00000000" w:rsidRDefault="001670F1">
      <w:pPr>
        <w:ind w:firstLine="698"/>
        <w:jc w:val="right"/>
      </w:pPr>
      <w:bookmarkStart w:id="14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6 декабря 2021 г. N 1122н</w:t>
      </w:r>
    </w:p>
    <w:bookmarkEnd w:id="14"/>
    <w:p w:rsidR="00000000" w:rsidRDefault="001670F1"/>
    <w:p w:rsidR="00000000" w:rsidRDefault="001670F1">
      <w:pPr>
        <w:pStyle w:val="1"/>
      </w:pPr>
      <w:r>
        <w:t>Национальный календарь профилактических прививок</w:t>
      </w:r>
    </w:p>
    <w:p w:rsidR="00000000" w:rsidRDefault="001670F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670F1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Методические рекомендации</w:t>
        </w:r>
      </w:hyperlink>
      <w:r>
        <w:t xml:space="preserve"> по проведению профил</w:t>
      </w:r>
      <w:r>
        <w:t xml:space="preserve">актических прививок, направленные </w:t>
      </w:r>
      <w:hyperlink r:id="rId13" w:history="1">
        <w:r>
          <w:rPr>
            <w:rStyle w:val="a4"/>
          </w:rPr>
          <w:t>письмом</w:t>
        </w:r>
      </w:hyperlink>
      <w:r>
        <w:t xml:space="preserve"> Минздрава России от 21 января 2022 г. N 15-2/И/2-806</w:t>
      </w:r>
    </w:p>
    <w:p w:rsidR="00000000" w:rsidRDefault="001670F1">
      <w:pPr>
        <w:pStyle w:val="a6"/>
      </w:pPr>
      <w:r>
        <w:t xml:space="preserve">См. </w:t>
      </w:r>
      <w:hyperlink r:id="rId14" w:history="1">
        <w:r>
          <w:rPr>
            <w:rStyle w:val="a4"/>
          </w:rPr>
          <w:t>Рекомендации</w:t>
        </w:r>
      </w:hyperlink>
      <w:r>
        <w:t xml:space="preserve"> по проведению догоняющей иммунизации при нарушении графика иммунопро</w:t>
      </w:r>
      <w:r>
        <w:t xml:space="preserve">филактики в рамках национального календаря профилактических прививок, направленные </w:t>
      </w:r>
      <w:hyperlink r:id="rId15" w:history="1">
        <w:r>
          <w:rPr>
            <w:rStyle w:val="a4"/>
          </w:rPr>
          <w:t>письмом</w:t>
        </w:r>
      </w:hyperlink>
      <w:r>
        <w:t xml:space="preserve"> ФМБА России от 20 августа 2020 г N 32-024/634</w:t>
      </w:r>
    </w:p>
    <w:p w:rsidR="00000000" w:rsidRDefault="001670F1">
      <w:pPr>
        <w:pStyle w:val="a6"/>
      </w:pPr>
      <w:r>
        <w:t xml:space="preserve">См. </w:t>
      </w:r>
      <w:hyperlink r:id="rId16" w:history="1">
        <w:r>
          <w:rPr>
            <w:rStyle w:val="a4"/>
          </w:rPr>
          <w:t>Методические указания</w:t>
        </w:r>
      </w:hyperlink>
      <w:r>
        <w:t xml:space="preserve"> МУ 3.3.1.1095-02 "Меди</w:t>
      </w:r>
      <w:r>
        <w:t>цинские противопоказания к проведению профилактических прививок препаратами национального календаря прививок", утвержденные Главным государственным санитарным врачом РФ от 9 января 2002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500"/>
        <w:gridCol w:w="5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r>
              <w:t>N</w:t>
            </w:r>
          </w:p>
          <w:p w:rsidR="00000000" w:rsidRDefault="001670F1">
            <w:pPr>
              <w:pStyle w:val="a7"/>
              <w:jc w:val="center"/>
            </w:pPr>
            <w:r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r>
              <w:t>Категории и возраст граждан, подлежащих обязательной вакцинац</w:t>
            </w:r>
            <w:r>
              <w:t>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7"/>
              <w:jc w:val="center"/>
            </w:pPr>
            <w:r>
              <w:t>Наименование профилактической прививки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15" w:name="sub_10001"/>
            <w:r>
              <w:t>1.</w:t>
            </w:r>
            <w:bookmarkEnd w:id="1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Новорожденные в первые 24 часа жизни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Первая вакцинация против вирусного гепатита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16" w:name="sub_10002"/>
            <w:r>
              <w:t>2.</w:t>
            </w:r>
            <w:bookmarkEnd w:id="1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Новорожденные на 3-7 день жизни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Вакцинация против туберкулеза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17" w:name="sub_10003"/>
            <w:r>
              <w:t>3.</w:t>
            </w:r>
            <w:bookmarkEnd w:id="1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Дети 1 месяц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Вторая вакцинация против вирусного гепатита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18" w:name="sub_10004"/>
            <w:r>
              <w:t>4.</w:t>
            </w:r>
            <w:bookmarkEnd w:id="18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Дети 2 месяца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Третья вакцинация против вирусного гепатита В (группы риска)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 xml:space="preserve">Первая вакцинация против пневмококковой </w:t>
            </w:r>
            <w:r>
              <w:lastRenderedPageBreak/>
              <w:t>инфекции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19" w:name="sub_10005"/>
            <w:r>
              <w:lastRenderedPageBreak/>
              <w:t>5.</w:t>
            </w:r>
            <w:bookmarkEnd w:id="19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Дети 3 месяца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Первая вакцинация против дифтерии, коклюша, столбняка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Первая вакцинация против полиомиелита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Первая вакцинация против гемофильной инфекции типа 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20" w:name="sub_10006"/>
            <w:r>
              <w:t>6.</w:t>
            </w:r>
            <w:bookmarkEnd w:id="20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Дети 4,5 месяца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Вторая вакцинация против дифтерии, коклюша, столбняка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Вторая вакцинация против гемофильной инфекции типа 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Вторая вакцинация против полиомиелита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Вторая вакцинация против пневмококковой инфекции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21" w:name="sub_10007"/>
            <w:r>
              <w:t>7.</w:t>
            </w:r>
            <w:bookmarkEnd w:id="21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Дети 6 месяцев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Третья вакцинация против дифтерии, коклюша, столбняка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Третья вакцинация против вирусного гепатита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Третья вакцинация против полиомиелита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Третья вакцинация против гемофильной инфекции типа 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22" w:name="sub_10008"/>
            <w:r>
              <w:t>8.</w:t>
            </w:r>
            <w:bookmarkEnd w:id="22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Дети 12 месяцев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Вакцинация против кори, краснухи, эпидемического паротита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Четверта</w:t>
            </w:r>
            <w:r>
              <w:t>я вакцинация против вирусного гепатита В (группы риска)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23" w:name="sub_10009"/>
            <w:r>
              <w:t>9.</w:t>
            </w:r>
            <w:bookmarkEnd w:id="2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670F1">
            <w:pPr>
              <w:pStyle w:val="a9"/>
            </w:pPr>
            <w:r>
              <w:t>Дети 15 месяцев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70F1">
            <w:pPr>
              <w:pStyle w:val="a9"/>
            </w:pPr>
            <w:r>
              <w:t>Ревакцинация против пневмококковой инфекции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24" w:name="sub_10010"/>
            <w:r>
              <w:t>10.</w:t>
            </w:r>
            <w:bookmarkEnd w:id="24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Дети 18 месяцев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Первая ревакцинация против дифтерии, коклюша, столбняка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Первая ревакцинация против полиомиелита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Ревакцинация против гемофильной инфекции типа 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25" w:name="sub_10011"/>
            <w:r>
              <w:t>11.</w:t>
            </w:r>
            <w:bookmarkEnd w:id="2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Дети 20 месяцев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Вторая ревакцинация против полиомиелита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26" w:name="sub_10012"/>
            <w:r>
              <w:t>12.</w:t>
            </w:r>
            <w:bookmarkEnd w:id="26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Дети 6 лет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Ревакцинация против кори, краснухи, эпидемического паротита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Третья ревакцинация против полиомиелита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27" w:name="sub_10013"/>
            <w:r>
              <w:t>13.</w:t>
            </w:r>
            <w:bookmarkEnd w:id="27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Дети 6-7 лет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Вторая ревакцинация против дифтерии, столбняка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0F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Ревакцинация против туберкулеза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28" w:name="sub_10014"/>
            <w:r>
              <w:t>14.</w:t>
            </w:r>
            <w:bookmarkEnd w:id="2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Дети 14 лет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Третья ревакцинация против дифтерии, столбняка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29" w:name="sub_10015"/>
            <w:r>
              <w:t>15.</w:t>
            </w:r>
            <w:bookmarkEnd w:id="2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Взрослые от 18 лет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30" w:name="sub_10016"/>
            <w:r>
              <w:t>16.</w:t>
            </w:r>
            <w:bookmarkEnd w:id="3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Дети от 1 года до 17 л</w:t>
            </w:r>
            <w:r>
              <w:t>ет (включительно), взрослые от 18 до 55 лет, не привитые ранее против вирусного гепатита В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Вакцинация против вирусного гепатита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31" w:name="sub_10017"/>
            <w:r>
              <w:t>17.</w:t>
            </w:r>
            <w:bookmarkEnd w:id="3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 xml:space="preserve">Дети от 1 года до 17 лет (включительно), женщины от 18 до 25 лет (включительно), </w:t>
            </w:r>
            <w:r>
              <w:lastRenderedPageBreak/>
              <w:t>не болевшие, не привит</w:t>
            </w:r>
            <w:r>
              <w:t>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lastRenderedPageBreak/>
              <w:t>Вакцинация против краснухи, ревакцинация против краснухи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32" w:name="sub_10018"/>
            <w:r>
              <w:t>18.</w:t>
            </w:r>
            <w:bookmarkEnd w:id="3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670F1">
            <w:pPr>
              <w:pStyle w:val="a9"/>
            </w:pPr>
            <w:r>
              <w:t>Дети от 1 года до 17 лет (включительно), взрослые от 18 до 35 лет (включительно), не бо</w:t>
            </w:r>
            <w:r>
              <w:t>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организаций, осуществляющих образовательную деятельность, организаций торго</w:t>
            </w:r>
            <w:r>
              <w:t xml:space="preserve">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</w:t>
            </w:r>
            <w:r>
              <w:t>имеющие сведений о прививках против кори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70F1">
            <w:pPr>
              <w:pStyle w:val="a9"/>
            </w:pPr>
            <w:r>
              <w:t>Вакцинация против кори, ревакцинация против кори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33" w:name="sub_10019"/>
            <w:r>
              <w:t>19.</w:t>
            </w:r>
            <w:bookmarkEnd w:id="3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670F1">
            <w:pPr>
              <w:pStyle w:val="a9"/>
            </w:pPr>
            <w:r>
              <w:t>Дети с 6 месяцев, учащиеся 1-11 классов;</w:t>
            </w:r>
          </w:p>
          <w:p w:rsidR="00000000" w:rsidRDefault="001670F1">
            <w:pPr>
              <w:pStyle w:val="a9"/>
            </w:pPr>
            <w:r>
              <w:t>обучающиеся в профессиональных образовательных организациях и образовательных организациях высшего образования;</w:t>
            </w:r>
          </w:p>
          <w:p w:rsidR="00000000" w:rsidRDefault="001670F1">
            <w:pPr>
              <w:pStyle w:val="a9"/>
            </w:pPr>
            <w:r>
              <w:t>взрослые, работающие по отдельным профессиям и должностям (работники медицинских организаций и организаций, осуществляющих образовательную деяте</w:t>
            </w:r>
            <w:r>
              <w:t xml:space="preserve">льность, организаций </w:t>
            </w:r>
            <w:r>
              <w:lastRenderedPageBreak/>
              <w:t>торговли, транспорта, коммунальной и социальной сферы);</w:t>
            </w:r>
          </w:p>
          <w:p w:rsidR="00000000" w:rsidRDefault="001670F1">
            <w:pPr>
              <w:pStyle w:val="a9"/>
            </w:pPr>
            <w:r>
              <w:t>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</w:t>
            </w:r>
            <w:r>
              <w:t>и;</w:t>
            </w:r>
          </w:p>
          <w:p w:rsidR="00000000" w:rsidRDefault="001670F1">
            <w:pPr>
              <w:pStyle w:val="a9"/>
            </w:pPr>
            <w:r>
              <w:t>работники организаций социального обслуживания и многофункциональных центров;</w:t>
            </w:r>
          </w:p>
          <w:p w:rsidR="00000000" w:rsidRDefault="001670F1">
            <w:pPr>
              <w:pStyle w:val="a9"/>
            </w:pPr>
            <w:r>
              <w:t>государственные гражданские и муниципальные служащие;</w:t>
            </w:r>
          </w:p>
          <w:p w:rsidR="00000000" w:rsidRDefault="001670F1">
            <w:pPr>
              <w:pStyle w:val="a9"/>
            </w:pPr>
            <w:r>
              <w:t>беременные женщины;</w:t>
            </w:r>
          </w:p>
          <w:p w:rsidR="00000000" w:rsidRDefault="001670F1">
            <w:pPr>
              <w:pStyle w:val="a9"/>
            </w:pPr>
            <w:r>
              <w:t>взрослые старше 60 лет;</w:t>
            </w:r>
          </w:p>
          <w:p w:rsidR="00000000" w:rsidRDefault="001670F1">
            <w:pPr>
              <w:pStyle w:val="a9"/>
            </w:pPr>
            <w:r>
              <w:t>лица, подлежащие призыву на военную службу;</w:t>
            </w:r>
          </w:p>
          <w:p w:rsidR="00000000" w:rsidRDefault="001670F1">
            <w:pPr>
              <w:pStyle w:val="a9"/>
            </w:pPr>
            <w:r>
              <w:t>лица с хроническими заболеваниями</w:t>
            </w:r>
            <w:r>
              <w:t>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70F1">
            <w:pPr>
              <w:pStyle w:val="a9"/>
            </w:pPr>
            <w:r>
              <w:lastRenderedPageBreak/>
              <w:t>Вакцинация против гриппа</w:t>
            </w:r>
          </w:p>
        </w:tc>
      </w:tr>
    </w:tbl>
    <w:p w:rsidR="00000000" w:rsidRDefault="001670F1"/>
    <w:p w:rsidR="00000000" w:rsidRDefault="001670F1">
      <w:pPr>
        <w:ind w:firstLine="698"/>
        <w:jc w:val="right"/>
      </w:pPr>
      <w:bookmarkStart w:id="34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6 дека</w:t>
      </w:r>
      <w:r>
        <w:rPr>
          <w:rStyle w:val="a3"/>
        </w:rPr>
        <w:t>бря 2021 г. N 1122н</w:t>
      </w:r>
    </w:p>
    <w:bookmarkEnd w:id="34"/>
    <w:p w:rsidR="00000000" w:rsidRDefault="001670F1"/>
    <w:p w:rsidR="00000000" w:rsidRDefault="001670F1">
      <w:pPr>
        <w:pStyle w:val="1"/>
      </w:pPr>
      <w:r>
        <w:t>Календарь</w:t>
      </w:r>
      <w:r>
        <w:br/>
        <w:t>профилактических прививок по эпидемическим показаниям</w:t>
      </w:r>
    </w:p>
    <w:p w:rsidR="00000000" w:rsidRDefault="001670F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670F1">
      <w:pPr>
        <w:pStyle w:val="a6"/>
      </w:pPr>
      <w:r>
        <w:t xml:space="preserve">См. </w:t>
      </w:r>
      <w:hyperlink r:id="rId17" w:history="1">
        <w:r>
          <w:rPr>
            <w:rStyle w:val="a4"/>
          </w:rPr>
          <w:t>Порядок</w:t>
        </w:r>
      </w:hyperlink>
      <w:r>
        <w:t xml:space="preserve"> проведения профилактических прививок по эпидемическим показаниям, приведенный в Методических указаниях </w:t>
      </w:r>
      <w:hyperlink r:id="rId18" w:history="1">
        <w:r>
          <w:rPr>
            <w:rStyle w:val="a4"/>
          </w:rPr>
          <w:t>МУ 3.3.1889-04</w:t>
        </w:r>
      </w:hyperlink>
      <w:r>
        <w:t>, утвержденных Главным государственным санитарным врачом РФ 4 марта 2004 г.</w:t>
      </w:r>
    </w:p>
    <w:p w:rsidR="00000000" w:rsidRDefault="001670F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r>
              <w:t>N</w:t>
            </w:r>
          </w:p>
          <w:p w:rsidR="00000000" w:rsidRDefault="001670F1">
            <w:pPr>
              <w:pStyle w:val="a7"/>
              <w:jc w:val="center"/>
            </w:pPr>
            <w:r>
              <w:t>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r>
              <w:t>Наименование профилактической прививки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7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35" w:name="sub_20001"/>
            <w:r>
              <w:t>1.</w:t>
            </w:r>
            <w:bookmarkEnd w:id="3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Против ту</w:t>
            </w:r>
            <w:r>
              <w:t>ляремии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000000" w:rsidRDefault="001670F1">
            <w:pPr>
              <w:pStyle w:val="a9"/>
            </w:pPr>
            <w:r>
              <w:t xml:space="preserve">- сельскохозяйственные, гидромелиоративные, </w:t>
            </w:r>
            <w:r>
              <w:lastRenderedPageBreak/>
              <w:t>строительные, другие работы по выемке и перемещению грунта, заготовительн</w:t>
            </w:r>
            <w:r>
              <w:t>ые, промысловые, геологические, изыскательские, экспедиционные, дератизационные и дезинсекционные;</w:t>
            </w:r>
          </w:p>
          <w:p w:rsidR="00000000" w:rsidRDefault="001670F1">
            <w:pPr>
              <w:pStyle w:val="a9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000000" w:rsidRDefault="001670F1">
            <w:pPr>
              <w:pStyle w:val="a9"/>
            </w:pPr>
            <w:r>
              <w:t>Лица, работающие с живыми культурами возбудителя туляремии.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36" w:name="sub_20002"/>
            <w:r>
              <w:lastRenderedPageBreak/>
              <w:t>2.</w:t>
            </w:r>
            <w:bookmarkEnd w:id="3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Против чумы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Лица, временно или постоянно находящееся на территории природного очага, при осложнении эпизоотической и эпидемиологической обстановки. Лица, работающие с живыми культурами возбудителя чумы.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37" w:name="sub_20003"/>
            <w:r>
              <w:t>3.</w:t>
            </w:r>
            <w:bookmarkEnd w:id="3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Против бру</w:t>
            </w:r>
            <w:r>
              <w:t>целлеза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В очагах козье-овечьего типа бруцеллеза лица, выполняющие следующие работы:</w:t>
            </w:r>
          </w:p>
          <w:p w:rsidR="00000000" w:rsidRDefault="001670F1">
            <w:pPr>
              <w:pStyle w:val="a9"/>
            </w:pPr>
            <w:r>
              <w:t>- по заготовке, хранению, обработке сырья и продуктов животноводства, полученных из хозяйств,</w:t>
            </w:r>
          </w:p>
          <w:p w:rsidR="00000000" w:rsidRDefault="001670F1">
            <w:pPr>
              <w:pStyle w:val="a9"/>
            </w:pPr>
            <w:r>
              <w:t>где регистрируются заболевания скота бруцеллезом;</w:t>
            </w:r>
          </w:p>
          <w:p w:rsidR="00000000" w:rsidRDefault="001670F1">
            <w:pPr>
              <w:pStyle w:val="a9"/>
            </w:pPr>
            <w:r>
              <w:t>- по убою скота, больного бр</w:t>
            </w:r>
            <w:r>
              <w:t>уцеллезом, заготовке и переработке полученных от него мяса и мясопродуктов.</w:t>
            </w:r>
          </w:p>
          <w:p w:rsidR="00000000" w:rsidRDefault="001670F1">
            <w:pPr>
              <w:pStyle w:val="a9"/>
            </w:pPr>
            <w:r>
              <w:t>Животноводы, ветеринарные работники, зоотехники в хозяйствах, энзоотичных по бруцеллезу.</w:t>
            </w:r>
          </w:p>
          <w:p w:rsidR="00000000" w:rsidRDefault="001670F1">
            <w:pPr>
              <w:pStyle w:val="a9"/>
            </w:pPr>
            <w:r>
              <w:t>Лица, работающие с живыми культурами возбудителя бруцеллеза.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38" w:name="sub_20004"/>
            <w:r>
              <w:t>4.</w:t>
            </w:r>
            <w:bookmarkEnd w:id="3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670F1">
            <w:pPr>
              <w:pStyle w:val="a9"/>
            </w:pPr>
            <w:r>
              <w:t>Против с</w:t>
            </w:r>
            <w:r>
              <w:t>ибирской язвы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70F1">
            <w:pPr>
              <w:pStyle w:val="a9"/>
            </w:pPr>
            <w:r>
              <w:t>Лица, выполняющие следующие работы:</w:t>
            </w:r>
          </w:p>
          <w:p w:rsidR="00000000" w:rsidRDefault="001670F1">
            <w:pPr>
              <w:pStyle w:val="a9"/>
            </w:pPr>
            <w:r>
              <w:t>- ветеринарные работники и другие лица, профессионально занятые предубойным содержанием скота, а также убоем, снятием шкур и разделкой туш;</w:t>
            </w:r>
          </w:p>
          <w:p w:rsidR="00000000" w:rsidRDefault="001670F1">
            <w:pPr>
              <w:pStyle w:val="a9"/>
            </w:pPr>
            <w:r>
              <w:t>- сбор, хранение, транспортировка и первичная обработка сырья животного происхождения;</w:t>
            </w:r>
          </w:p>
          <w:p w:rsidR="00000000" w:rsidRDefault="001670F1">
            <w:pPr>
              <w:pStyle w:val="a9"/>
            </w:pPr>
            <w:r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</w:t>
            </w:r>
            <w:r>
              <w:t>энзоотичных по сибирской язве территориях.</w:t>
            </w:r>
          </w:p>
          <w:p w:rsidR="00000000" w:rsidRDefault="001670F1">
            <w:pPr>
              <w:pStyle w:val="a9"/>
            </w:pPr>
            <w: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39" w:name="sub_20005"/>
            <w:r>
              <w:t>5.</w:t>
            </w:r>
            <w:bookmarkEnd w:id="3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Против бешенства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С профилактической целью вакцинируют следующих лиц, имеющих высокий риск заражения</w:t>
            </w:r>
            <w:r>
              <w:t xml:space="preserve"> бешенством:</w:t>
            </w:r>
          </w:p>
          <w:p w:rsidR="00000000" w:rsidRDefault="001670F1">
            <w:pPr>
              <w:pStyle w:val="a9"/>
            </w:pPr>
            <w:r>
              <w:t>лица, работающие с "уличным" вирусом бешенства;</w:t>
            </w:r>
          </w:p>
          <w:p w:rsidR="00000000" w:rsidRDefault="001670F1">
            <w:pPr>
              <w:pStyle w:val="a9"/>
            </w:pPr>
            <w:r>
              <w:t>ветеринарные работники; егеря, охотники, лесники;</w:t>
            </w:r>
          </w:p>
          <w:p w:rsidR="00000000" w:rsidRDefault="001670F1">
            <w:pPr>
              <w:pStyle w:val="a9"/>
            </w:pPr>
            <w:r>
              <w:t>лица, выполняющие работы по отлову и содержанию животных.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40" w:name="sub_20006"/>
            <w:r>
              <w:t>6.</w:t>
            </w:r>
            <w:bookmarkEnd w:id="4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Против лептоспироза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Лица, выполняющие следующие работы:</w:t>
            </w:r>
          </w:p>
          <w:p w:rsidR="00000000" w:rsidRDefault="001670F1">
            <w:pPr>
              <w:pStyle w:val="a9"/>
            </w:pPr>
            <w: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000000" w:rsidRDefault="001670F1">
            <w:pPr>
              <w:pStyle w:val="a9"/>
            </w:pPr>
            <w:r>
              <w:t xml:space="preserve">- по убою скота, больного лептоспирозом, заготовке и </w:t>
            </w:r>
            <w:r>
              <w:lastRenderedPageBreak/>
              <w:t>переработке мяса и мясопродуктов, полученных от бол</w:t>
            </w:r>
            <w:r>
              <w:t>ьных лептоспирозом животных;</w:t>
            </w:r>
          </w:p>
          <w:p w:rsidR="00000000" w:rsidRDefault="001670F1">
            <w:pPr>
              <w:pStyle w:val="a9"/>
            </w:pPr>
            <w:r>
              <w:t>- по отлову и содержанию безнадзорных животных. Лица, работающие с живыми культурами возбудителя лептоспироза.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41" w:name="sub_20007"/>
            <w:r>
              <w:lastRenderedPageBreak/>
              <w:t>7.</w:t>
            </w:r>
            <w:bookmarkEnd w:id="4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Против клещевого вирусного энцефалита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Лица, проживающие на эндемичных по клещевому вирусному э</w:t>
            </w:r>
            <w:r>
              <w:t>нцефалиту территориях,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000000" w:rsidRDefault="001670F1">
            <w:pPr>
              <w:pStyle w:val="a9"/>
            </w:pPr>
            <w:r>
              <w:t>- сельскохозяйственные, гидромелиоративные, строительные, по выемке и перемещению гр</w:t>
            </w:r>
            <w:r>
              <w:t>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000000" w:rsidRDefault="001670F1">
            <w:pPr>
              <w:pStyle w:val="a9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000000" w:rsidRDefault="001670F1">
            <w:pPr>
              <w:pStyle w:val="a9"/>
            </w:pPr>
            <w:r>
              <w:t>Лица, работающие с живыми культурами возбудител</w:t>
            </w:r>
            <w:r>
              <w:t>я клещевого энцефалита.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42" w:name="sub_20008"/>
            <w:r>
              <w:t>8.</w:t>
            </w:r>
            <w:bookmarkEnd w:id="4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670F1">
            <w:pPr>
              <w:pStyle w:val="a9"/>
            </w:pPr>
            <w:r>
              <w:t>Против лихорадки Ку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70F1">
            <w:pPr>
              <w:pStyle w:val="a9"/>
            </w:pPr>
            <w: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000000" w:rsidRDefault="001670F1">
            <w:pPr>
              <w:pStyle w:val="a9"/>
            </w:pPr>
            <w: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000000" w:rsidRDefault="001670F1">
            <w:pPr>
              <w:pStyle w:val="a9"/>
            </w:pPr>
            <w:r>
              <w:t>Лица, работающие с живыми культурами возбудителей лихорадки 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43" w:name="sub_20009"/>
            <w:r>
              <w:t>9.</w:t>
            </w:r>
            <w:bookmarkEnd w:id="4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Против желтой лихорадки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Лица, вые</w:t>
            </w:r>
            <w:r>
              <w:t>зжающие за пределы Российской Федерации в энзоотичные по желтой лихорадке страны (регионы). Лица, работающие с живыми культурами возбудителя желтой лихорадки.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44" w:name="sub_20010"/>
            <w:r>
              <w:t>10.</w:t>
            </w:r>
            <w:bookmarkEnd w:id="4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Против холеры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Лица, выезжающие в неблагополучные по холере ст</w:t>
            </w:r>
            <w:r>
              <w:t>раны (регионы).</w:t>
            </w:r>
          </w:p>
          <w:p w:rsidR="00000000" w:rsidRDefault="001670F1">
            <w:pPr>
              <w:pStyle w:val="a9"/>
            </w:pPr>
            <w: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45" w:name="sub_20011"/>
            <w:r>
              <w:t>11.</w:t>
            </w:r>
            <w:bookmarkEnd w:id="4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Против брюшного тифа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Лица, занятые в с</w:t>
            </w:r>
            <w:r>
              <w:t>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000000" w:rsidRDefault="001670F1">
            <w:pPr>
              <w:pStyle w:val="a9"/>
            </w:pPr>
            <w:r>
              <w:t>Лица, работающие с жи</w:t>
            </w:r>
            <w:r>
              <w:t>выми культурами возбудителей брюшного тифа.</w:t>
            </w:r>
          </w:p>
          <w:p w:rsidR="00000000" w:rsidRDefault="001670F1">
            <w:pPr>
              <w:pStyle w:val="a9"/>
            </w:pPr>
            <w:r>
              <w:t>Население, проживающее на территориях с хроническими водными эпидемиями брюшного тифа. Лица, выезжающие в гиперэндемичные по брюшному тифу страны (регионы).</w:t>
            </w:r>
          </w:p>
          <w:p w:rsidR="00000000" w:rsidRDefault="001670F1">
            <w:pPr>
              <w:pStyle w:val="a9"/>
            </w:pPr>
            <w:r>
              <w:lastRenderedPageBreak/>
              <w:t>Контактные лица в очагах брюшного тифа по эпидемическим</w:t>
            </w:r>
            <w:r>
              <w:t xml:space="preserve"> показаниям.</w:t>
            </w:r>
          </w:p>
          <w:p w:rsidR="00000000" w:rsidRDefault="001670F1">
            <w:pPr>
              <w:pStyle w:val="a9"/>
            </w:pPr>
            <w:r>
              <w:t>По эпидемическим показаниям прививки проводят при угрозе возникновения эпидемии или вспышки брюшного тифа (стихийные бедствия, крупные аварии на водопроводной и канализационной сети), а также в период эпидемии, при этом в угрожаемом регионе пр</w:t>
            </w:r>
            <w:r>
              <w:t>оводят массовую вакцинацию населения.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46" w:name="sub_20012"/>
            <w:r>
              <w:lastRenderedPageBreak/>
              <w:t>12.</w:t>
            </w:r>
            <w:bookmarkEnd w:id="4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670F1">
            <w:pPr>
              <w:pStyle w:val="a9"/>
            </w:pPr>
            <w:r>
              <w:t>Против вирусного гепатита 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70F1">
            <w:pPr>
              <w:pStyle w:val="a9"/>
            </w:pPr>
            <w:r>
              <w:t>Лица, проживающие в регионах, неблагополучных по заболеваемости вирусным гепатитом А, а также лица, подверженные профессиональному риску заражения (медицинские работни</w:t>
            </w:r>
            <w:r>
              <w:t>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000000" w:rsidRDefault="001670F1">
            <w:pPr>
              <w:pStyle w:val="a9"/>
            </w:pPr>
            <w:r>
              <w:t>Лица, выезжающие в неблагополучные страны (регионы), где регистрируется вспы</w:t>
            </w:r>
            <w:r>
              <w:t>шечная заболеваемость вирусным гепатитом А. Контактные лица в очагах вирусного гепатита А.</w:t>
            </w:r>
          </w:p>
          <w:p w:rsidR="00000000" w:rsidRDefault="001670F1">
            <w:pPr>
              <w:pStyle w:val="a9"/>
            </w:pPr>
            <w:r>
              <w:t>По эпидемическим показаниям прививки проводятся при угрозе возникновения эпидемии или вспышки вирусного гепатита А (стихийные бедствия, крупные аварии на водопроводной и канализационной сети).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47" w:name="sub_20013"/>
            <w:r>
              <w:t>13.</w:t>
            </w:r>
            <w:bookmarkEnd w:id="4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Против шигеллезов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 xml:space="preserve">Работники медицинских </w:t>
            </w:r>
            <w:r>
              <w:t>организаций (их структурных подразделений) инфекционного профиля.</w:t>
            </w:r>
          </w:p>
          <w:p w:rsidR="00000000" w:rsidRDefault="001670F1">
            <w:pPr>
              <w:pStyle w:val="a9"/>
            </w:pPr>
            <w:r>
              <w:t>Лица, занятые в сфере общественного питания и коммунального благоустройства.</w:t>
            </w:r>
          </w:p>
          <w:p w:rsidR="00000000" w:rsidRDefault="001670F1">
            <w:pPr>
              <w:pStyle w:val="a9"/>
            </w:pPr>
            <w:r>
              <w:t>Дети, посещающие дошкольные образовательные организации и отъезжающие в организации, осуществляющие лечение, оздо</w:t>
            </w:r>
            <w:r>
              <w:t>ровление и (или) отдых (по показаниям).</w:t>
            </w:r>
          </w:p>
          <w:p w:rsidR="00000000" w:rsidRDefault="001670F1">
            <w:pPr>
              <w:pStyle w:val="a9"/>
            </w:pPr>
            <w:r>
              <w:t>По эпидемическим показаниям прививки проводятся при угрозе возникновения эпидемии или вспышки шигеллезов (стихийные бедствия, крупные аварии на водопроводной и канализационной сети), а также в период эпидемии, при эт</w:t>
            </w:r>
            <w:r>
              <w:t>ом в угрожаемом регионе проводят массовую вакцинацию населения. Профилактические прививки предпочтительно проводить перед сезонным подъемом заболеваемости шигеллезами.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48" w:name="sub_20014"/>
            <w:r>
              <w:t>14.</w:t>
            </w:r>
            <w:bookmarkEnd w:id="4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Против менингококковой инфекции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Дети и взрослые в очагах менингококковой инфекции, вызванной менингококками серогрупп А или С. Вакцинация проводится в эндемичных регионах, а также в случае эпидемии, вызванной менингококками серогрупп А или С.</w:t>
            </w:r>
          </w:p>
          <w:p w:rsidR="00000000" w:rsidRDefault="001670F1">
            <w:pPr>
              <w:pStyle w:val="a9"/>
            </w:pPr>
            <w:r>
              <w:t>Лица, подлежащие призыву на военную службу.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49" w:name="sub_20015"/>
            <w:r>
              <w:t>15.</w:t>
            </w:r>
            <w:bookmarkEnd w:id="4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Против кори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 xml:space="preserve">Контактные лица без ограничения возраста из очагов заболевания, ранее не болевшие, не привитые и не имеющие сведений о профилактических прививках </w:t>
            </w:r>
            <w:r>
              <w:lastRenderedPageBreak/>
              <w:t>против кори, или однократно привитые старше 6 лет.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50" w:name="sub_20016"/>
            <w:r>
              <w:lastRenderedPageBreak/>
              <w:t>16.</w:t>
            </w:r>
            <w:bookmarkEnd w:id="5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Пр</w:t>
            </w:r>
            <w:r>
              <w:t>отив вирусного гепатита 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51" w:name="sub_20017"/>
            <w:r>
              <w:t>17.</w:t>
            </w:r>
            <w:bookmarkEnd w:id="5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670F1">
            <w:pPr>
              <w:pStyle w:val="a9"/>
            </w:pPr>
            <w:r>
              <w:t>Против дифтерии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70F1">
            <w:pPr>
              <w:pStyle w:val="a9"/>
            </w:pPr>
            <w:r>
              <w:t>Контактные лица из очагов заболевания, не болев</w:t>
            </w:r>
            <w:r>
              <w:t>шие, не привитые и не имеющие сведений о профилактических прививках против дифтерии.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52" w:name="sub_20018"/>
            <w:r>
              <w:t>18.</w:t>
            </w:r>
            <w:bookmarkEnd w:id="5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Против эпидемического паротита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 xml:space="preserve">Контактные лица из очагов заболевания, ранее не болевшие, не привитые или не имеющие сведений </w:t>
            </w:r>
            <w:r>
              <w:t>о профилактических прививках против эпидемического паротита, или однократно привитые старше 6 лет.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53" w:name="sub_20019"/>
            <w:r>
              <w:t>19.</w:t>
            </w:r>
            <w:bookmarkEnd w:id="5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Против полиомиелита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Контактные лица в очагах полиомиелита, в том числе вызванного диким полиовирусом (или при подозрении на заболевани</w:t>
            </w:r>
            <w:r>
              <w:t>е):</w:t>
            </w:r>
          </w:p>
          <w:p w:rsidR="00000000" w:rsidRDefault="001670F1">
            <w:pPr>
              <w:pStyle w:val="a9"/>
            </w:pPr>
            <w:r>
              <w:t>- дети с 3 месяцев до 15 лет при наличии достоверных данных о предшествующих прививках - однократно;</w:t>
            </w:r>
          </w:p>
          <w:p w:rsidR="00000000" w:rsidRDefault="001670F1">
            <w:pPr>
              <w:pStyle w:val="a9"/>
            </w:pPr>
            <w:r>
              <w:t>- медицинские работники - однократно;</w:t>
            </w:r>
          </w:p>
          <w:p w:rsidR="00000000" w:rsidRDefault="001670F1">
            <w:pPr>
              <w:pStyle w:val="a9"/>
            </w:pPr>
            <w:r>
              <w:t>- дети, прибывшие из эндемичных (неблагополучных) по полиомиелиту стран (регионов), с 3 месяцев до 15 лет</w:t>
            </w:r>
          </w:p>
          <w:p w:rsidR="00000000" w:rsidRDefault="001670F1">
            <w:pPr>
              <w:pStyle w:val="a9"/>
            </w:pPr>
            <w:r>
              <w:t>- однократно (при наличии достоверных данных о предшествующих прививках) или трехкратно (при их отсутствии);</w:t>
            </w:r>
          </w:p>
          <w:p w:rsidR="00000000" w:rsidRDefault="001670F1">
            <w:pPr>
              <w:pStyle w:val="a9"/>
            </w:pPr>
            <w:r>
              <w:t>- лица без определенного места жительства</w:t>
            </w:r>
          </w:p>
          <w:p w:rsidR="00000000" w:rsidRDefault="001670F1">
            <w:pPr>
              <w:pStyle w:val="a9"/>
            </w:pPr>
            <w:r>
              <w:t>(при их выявлении) с 3 месяцев до 15 лет - однократно (при наличии достоверных данных о предшествующих пр</w:t>
            </w:r>
            <w:r>
              <w:t>ививках) или трехкратно (при их отсутствии);</w:t>
            </w:r>
          </w:p>
          <w:p w:rsidR="00000000" w:rsidRDefault="001670F1">
            <w:pPr>
              <w:pStyle w:val="a9"/>
            </w:pPr>
            <w:r>
              <w:t>- лица, контактировавшие с прибывшими из эндемичных (неблагополучных) по полиомиелиту стран (регионов),</w:t>
            </w:r>
          </w:p>
          <w:p w:rsidR="00000000" w:rsidRDefault="001670F1">
            <w:pPr>
              <w:pStyle w:val="a9"/>
            </w:pPr>
            <w:r>
              <w:t>с 3 месяцев жизни без ограничения возраста - однократно инактивированной полиомиелитной вакциной;</w:t>
            </w:r>
          </w:p>
          <w:p w:rsidR="00000000" w:rsidRDefault="001670F1">
            <w:pPr>
              <w:pStyle w:val="a9"/>
            </w:pPr>
            <w:r>
              <w:t>- лица, р</w:t>
            </w:r>
            <w:r>
              <w:t>аботающие с живым полиовирусом,</w:t>
            </w:r>
          </w:p>
          <w:p w:rsidR="00000000" w:rsidRDefault="001670F1">
            <w:pPr>
              <w:pStyle w:val="a9"/>
            </w:pPr>
            <w:r>
              <w:t>с материалами, инфицированными (потенциально инфицированными) диким полиовирусом, без ограничения возраста - однократно при приеме на работу.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54" w:name="sub_20020"/>
            <w:r>
              <w:t>20.</w:t>
            </w:r>
            <w:bookmarkEnd w:id="5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Против пневмококковой инфекции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Дети в возрасте от 2 до 5 ле</w:t>
            </w:r>
            <w:r>
              <w:t>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55" w:name="sub_20021"/>
            <w:r>
              <w:t>21</w:t>
            </w:r>
            <w:r>
              <w:t>.</w:t>
            </w:r>
            <w:bookmarkEnd w:id="5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Против ротавирусной инфекции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Дети для активной вакцинации с целью профилактики заболеваний, вызываемых ротавирусами.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56" w:name="sub_20022"/>
            <w:r>
              <w:t>22.</w:t>
            </w:r>
            <w:bookmarkEnd w:id="5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670F1">
            <w:pPr>
              <w:pStyle w:val="a9"/>
            </w:pPr>
            <w:r>
              <w:t>Против ветряной оспы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70F1">
            <w:pPr>
              <w:pStyle w:val="a9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57" w:name="sub_20023"/>
            <w:r>
              <w:lastRenderedPageBreak/>
              <w:t>23.</w:t>
            </w:r>
            <w:bookmarkEnd w:id="5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670F1">
            <w:pPr>
              <w:pStyle w:val="a9"/>
            </w:pPr>
            <w:r>
              <w:t>Против гемофильной инфекции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70F1">
            <w:pPr>
              <w:pStyle w:val="a9"/>
            </w:pPr>
            <w:r>
              <w:t>Дети, не привитые на первом году жизни против гемофильной инфекции.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670F1">
            <w:pPr>
              <w:pStyle w:val="a7"/>
              <w:jc w:val="center"/>
            </w:pPr>
            <w:bookmarkStart w:id="58" w:name="sub_20024"/>
            <w:r>
              <w:t>24.</w:t>
            </w:r>
            <w:bookmarkEnd w:id="5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670F1">
            <w:pPr>
              <w:pStyle w:val="a9"/>
            </w:pPr>
            <w:r>
              <w:t>Против коронавирусной инфекции, вызываемой вирусом SARS- СоV-2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70F1">
            <w:pPr>
              <w:pStyle w:val="a9"/>
            </w:pPr>
            <w:r>
              <w:t>К приоритету 1-го уровня относятся:</w:t>
            </w:r>
          </w:p>
          <w:p w:rsidR="00000000" w:rsidRDefault="001670F1">
            <w:pPr>
              <w:pStyle w:val="a9"/>
            </w:pPr>
            <w:r>
              <w:t>лица в возрасте 60 лет и старше;</w:t>
            </w:r>
          </w:p>
          <w:p w:rsidR="00000000" w:rsidRDefault="001670F1">
            <w:pPr>
              <w:pStyle w:val="a9"/>
            </w:pPr>
            <w:r>
              <w:t>взрослые, работающие по отдельным профессиям и должностям:</w:t>
            </w:r>
          </w:p>
          <w:p w:rsidR="00000000" w:rsidRDefault="001670F1">
            <w:pPr>
              <w:pStyle w:val="a9"/>
            </w:pPr>
            <w:r>
              <w:t>работники медицинских, образовательных орга</w:t>
            </w:r>
            <w:r>
              <w:t>низаций, организаций социального обслуживания и многофункциональных центров;</w:t>
            </w:r>
          </w:p>
          <w:p w:rsidR="00000000" w:rsidRDefault="001670F1">
            <w:pPr>
              <w:pStyle w:val="a9"/>
            </w:pPr>
            <w:r>
              <w:t>лица, проживающие в организациях социального обслуживания;</w:t>
            </w:r>
          </w:p>
          <w:p w:rsidR="00000000" w:rsidRDefault="001670F1">
            <w:pPr>
              <w:pStyle w:val="a9"/>
            </w:pPr>
            <w:r>
              <w:t>лица с хроническими заболеваниями, в том числе с заболеваниями бронхолегочной системы, сердечно-сосудистыми заболеваниям</w:t>
            </w:r>
            <w:r>
              <w:t>и, сахарным диабетом и ожирением;</w:t>
            </w:r>
          </w:p>
          <w:p w:rsidR="00000000" w:rsidRDefault="001670F1">
            <w:pPr>
              <w:pStyle w:val="a9"/>
            </w:pPr>
            <w:r>
              <w:t>граждане, проживающие в городах с численностью населения 1 млн и более.</w:t>
            </w:r>
          </w:p>
          <w:p w:rsidR="00000000" w:rsidRDefault="001670F1">
            <w:pPr>
              <w:pStyle w:val="a9"/>
            </w:pPr>
            <w:r>
              <w:t>К приоритету 2-го уровня относятся:</w:t>
            </w:r>
          </w:p>
          <w:p w:rsidR="00000000" w:rsidRDefault="001670F1">
            <w:pPr>
              <w:pStyle w:val="a9"/>
            </w:pPr>
            <w:r>
              <w:t>взрослые, работающие по отдельным профессиям и должностям:</w:t>
            </w:r>
          </w:p>
          <w:p w:rsidR="00000000" w:rsidRDefault="001670F1">
            <w:pPr>
              <w:pStyle w:val="a9"/>
            </w:pPr>
            <w:r>
              <w:t>работники организаций транспорта и энергетики, сотрудни</w:t>
            </w:r>
            <w:r>
              <w:t>ки правоохранительных органов, государственных контрольных органов в пунктах пропуска через государственную границу;</w:t>
            </w:r>
          </w:p>
          <w:p w:rsidR="00000000" w:rsidRDefault="001670F1">
            <w:pPr>
              <w:pStyle w:val="a9"/>
            </w:pPr>
            <w:r>
              <w:t>лица, работающие вахтовым методом;</w:t>
            </w:r>
          </w:p>
          <w:p w:rsidR="00000000" w:rsidRDefault="001670F1">
            <w:pPr>
              <w:pStyle w:val="a9"/>
            </w:pPr>
            <w:r>
              <w:t>волонтеры;</w:t>
            </w:r>
          </w:p>
          <w:p w:rsidR="00000000" w:rsidRDefault="001670F1">
            <w:pPr>
              <w:pStyle w:val="a9"/>
            </w:pPr>
            <w:r>
              <w:t>военнослужащие;</w:t>
            </w:r>
          </w:p>
          <w:p w:rsidR="00000000" w:rsidRDefault="001670F1">
            <w:pPr>
              <w:pStyle w:val="a9"/>
            </w:pPr>
            <w:r>
              <w:t>работники организаций сферы предоставления услуг.</w:t>
            </w:r>
          </w:p>
          <w:p w:rsidR="00000000" w:rsidRDefault="001670F1">
            <w:pPr>
              <w:pStyle w:val="a9"/>
            </w:pPr>
            <w:r>
              <w:t>К приоритету 3-го уровня относятся:</w:t>
            </w:r>
          </w:p>
          <w:p w:rsidR="00000000" w:rsidRDefault="001670F1">
            <w:pPr>
              <w:pStyle w:val="a9"/>
            </w:pPr>
            <w:r>
              <w:t>государственные гражданские и муниципальные служащие;</w:t>
            </w:r>
          </w:p>
          <w:p w:rsidR="00000000" w:rsidRDefault="001670F1">
            <w:pPr>
              <w:pStyle w:val="a9"/>
            </w:pPr>
            <w: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</w:p>
          <w:p w:rsidR="00000000" w:rsidRDefault="001670F1">
            <w:pPr>
              <w:pStyle w:val="a9"/>
            </w:pPr>
            <w:r>
              <w:t>лица, подлежащие призыву на военную служ</w:t>
            </w:r>
            <w:r>
              <w:t>бу.</w:t>
            </w:r>
          </w:p>
          <w:p w:rsidR="00000000" w:rsidRDefault="001670F1">
            <w:pPr>
              <w:pStyle w:val="a9"/>
            </w:pPr>
            <w:r>
              <w:t>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представителя).</w:t>
            </w:r>
          </w:p>
        </w:tc>
      </w:tr>
    </w:tbl>
    <w:p w:rsidR="00000000" w:rsidRDefault="001670F1"/>
    <w:p w:rsidR="00000000" w:rsidRDefault="001670F1">
      <w:pPr>
        <w:ind w:firstLine="698"/>
        <w:jc w:val="right"/>
      </w:pPr>
      <w:bookmarkStart w:id="59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</w:t>
      </w:r>
      <w:r>
        <w:rPr>
          <w:rStyle w:val="a3"/>
        </w:rPr>
        <w:t>сийской Федерации</w:t>
      </w:r>
      <w:r>
        <w:rPr>
          <w:rStyle w:val="a3"/>
        </w:rPr>
        <w:br/>
        <w:t>от 6 декабря 2021 г. N 1122н</w:t>
      </w:r>
    </w:p>
    <w:bookmarkEnd w:id="59"/>
    <w:p w:rsidR="00000000" w:rsidRDefault="001670F1"/>
    <w:p w:rsidR="00000000" w:rsidRDefault="001670F1">
      <w:pPr>
        <w:pStyle w:val="1"/>
      </w:pPr>
      <w:r>
        <w:t>Порядок</w:t>
      </w:r>
      <w:r>
        <w:br/>
        <w:t>проведения профилактических прививок</w:t>
      </w:r>
    </w:p>
    <w:p w:rsidR="00000000" w:rsidRDefault="001670F1"/>
    <w:p w:rsidR="00000000" w:rsidRDefault="001670F1">
      <w:bookmarkStart w:id="60" w:name="sub_3001"/>
      <w:r>
        <w:t xml:space="preserve">1. Профилактические прививки проводятся гражданам в медицинских </w:t>
      </w:r>
      <w:r>
        <w:lastRenderedPageBreak/>
        <w:t>организациях при наличии лицензии, предусматривающей выполнение работ (услуг) по в</w:t>
      </w:r>
      <w:r>
        <w:t>акцинации (проведению профилактических прививок).</w:t>
      </w:r>
    </w:p>
    <w:p w:rsidR="00000000" w:rsidRDefault="001670F1">
      <w:bookmarkStart w:id="61" w:name="sub_3002"/>
      <w:bookmarkEnd w:id="60"/>
      <w:r>
        <w:t>2. Профилактические прививки проводят медицинские работники, прошедшие обучение по вопросам применения иммунобиологических лекарственных препаратов для иммунопрофилактики, организации провед</w:t>
      </w:r>
      <w:r>
        <w:t>ения вакцинации, техники проведения вакцинации, а также по вопросам оказания медицинской помощи в экстренной и неотложной формах.</w:t>
      </w:r>
    </w:p>
    <w:p w:rsidR="00000000" w:rsidRDefault="001670F1">
      <w:bookmarkStart w:id="62" w:name="sub_3003"/>
      <w:bookmarkEnd w:id="61"/>
      <w:r>
        <w:t>3. Профилактические прививки проводятся с использованием иммунобиологических лекарственных препаратов для имму</w:t>
      </w:r>
      <w:r>
        <w:t>нопрофилактики, зарегистрированных в соответствии с законодательством Российской Федерации, согласно инструкциям по их применению.</w:t>
      </w:r>
    </w:p>
    <w:p w:rsidR="00000000" w:rsidRDefault="001670F1">
      <w:bookmarkStart w:id="63" w:name="sub_3004"/>
      <w:bookmarkEnd w:id="62"/>
      <w:r>
        <w:t>4. Перед проведением профилактической прививки лицу, подлежащему вакцинации или ревакцинации,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</w:t>
      </w:r>
      <w:r>
        <w:t xml:space="preserve">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19" w:history="1">
        <w:r>
          <w:rPr>
            <w:rStyle w:val="a4"/>
          </w:rPr>
          <w:t>статьи 20</w:t>
        </w:r>
      </w:hyperlink>
      <w:r>
        <w:t xml:space="preserve"> Федерального закона от 21 ноября 2011 г. N </w:t>
      </w:r>
      <w:r>
        <w:t>323-Ф3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3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1670F1">
      <w:bookmarkStart w:id="64" w:name="sub_3005"/>
      <w:bookmarkEnd w:id="63"/>
      <w:r>
        <w:t>5. Все лица, которым должны проводиться профилактические прививки, предварительно подлежат осмотру врачом (фельдшером)</w:t>
      </w:r>
      <w:r>
        <w:rPr>
          <w:vertAlign w:val="superscript"/>
        </w:rPr>
        <w:t> </w:t>
      </w:r>
      <w:hyperlink w:anchor="sub_322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1670F1">
      <w:bookmarkStart w:id="65" w:name="sub_3006"/>
      <w:bookmarkEnd w:id="64"/>
      <w:r>
        <w:t>6. При проведении вакцинации и ревакцинации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иммунизации, по данным мониторинга Роспотребнадзора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1670F1">
      <w:bookmarkStart w:id="66" w:name="sub_3007"/>
      <w:bookmarkEnd w:id="65"/>
      <w:r>
        <w:t xml:space="preserve">7. Профилактические прививки могут проводиться с использованием иммунобиологических лекарственных препаратов для иммунопрофилактики, содержащих комбинации вакцин, предназначенных для применения в соответствующие </w:t>
      </w:r>
      <w:r>
        <w:t>возрастные периоды.</w:t>
      </w:r>
    </w:p>
    <w:p w:rsidR="00000000" w:rsidRDefault="001670F1">
      <w:bookmarkStart w:id="67" w:name="sub_3008"/>
      <w:bookmarkEnd w:id="66"/>
      <w:r>
        <w:t>8. При изменении сроков вакцинации ее проводят по схемам, предусмотренным национальным календарем профилактических прививок, утвержденным настоящим приказом, настоящим порядком, и в соответствии с инструкциями по примене</w:t>
      </w:r>
      <w:r>
        <w:t>нию иммунобиологических лекарственных препаратов для иммунопрофилактики. Допускается введение вакцин (за исключением вакцин для профилактики туберкулеза), применяемых в рамках национального календаря профилактических прививок и календаря профилактических п</w:t>
      </w:r>
      <w:r>
        <w:t>рививок по эпидемическим показаниям, в один день разными шприцами в разные участки тела.</w:t>
      </w:r>
    </w:p>
    <w:p w:rsidR="00000000" w:rsidRDefault="001670F1">
      <w:bookmarkStart w:id="68" w:name="sub_3009"/>
      <w:bookmarkEnd w:id="67"/>
      <w:r>
        <w:t>9. При проведении вакцинации против вирусного гепатита В детей первого года жизни, против гриппа детей с 6-месячного возраста, обучающихся в общеобразо</w:t>
      </w:r>
      <w:r>
        <w:t>вательных организациях и в профессиональных образовательных организациях, беременных женщин используются иммунобиологические лекарственные препараты для иммунопрофилактики, не содержащие консервантов.</w:t>
      </w:r>
    </w:p>
    <w:p w:rsidR="00000000" w:rsidRDefault="001670F1">
      <w:bookmarkStart w:id="69" w:name="sub_3010"/>
      <w:bookmarkEnd w:id="68"/>
      <w:r>
        <w:t>10. Вакцинация против туберкулеза прово</w:t>
      </w:r>
      <w:r>
        <w:t>дится новорожденным на 3-7 день жизни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тысяч населения, а также при наличии в окружении но</w:t>
      </w:r>
      <w:r>
        <w:t>ворожденного больных туберкулезом - вакциной для профилактики туберкулеза (БЦЖ). Ревакцинация детям в 6-7 лет проводится вакциной для профилактики туберкулеза (БЦЖ). При отсутствии вакцинации против туберкулеза в родильном доме она может быть проведена в в</w:t>
      </w:r>
      <w:r>
        <w:t>озрасте до 7 лет туберкулиноотрицательным детям.</w:t>
      </w:r>
    </w:p>
    <w:p w:rsidR="00000000" w:rsidRDefault="001670F1">
      <w:bookmarkStart w:id="70" w:name="sub_3011"/>
      <w:bookmarkEnd w:id="69"/>
      <w:r>
        <w:lastRenderedPageBreak/>
        <w:t>11. Вакцинация против вирусного гепатита В детей первого года жизни проводится по схеме 0-1-6 (1-я доза - в момент начала вакцинации, 2-я доза - через месяц после 1-й прививки, 3-я доза - чер</w:t>
      </w:r>
      <w:r>
        <w:t>ез 6 месяцев от начала вакцинации).</w:t>
      </w:r>
    </w:p>
    <w:bookmarkEnd w:id="70"/>
    <w:p w:rsidR="00000000" w:rsidRDefault="001670F1">
      <w:r>
        <w:t>Вакцинация против вирусного гепатита В детей, относящихся к группам риска (родившимся от матерей - носителей HBsAg, больных вирусным гепатитом В или перенесших вирусный гепатит В в третьем триместре беременности,</w:t>
      </w:r>
      <w:r>
        <w:t xml:space="preserve"> не имеющих результатов обследования на маркеры гепатита В, потребляющих наркотические средства или психотропные вещества, из семей, в которых есть носитель HBsAg или больной острым вирусным гепатитом В и хроническими вирусными гепатитами), проводится по с</w:t>
      </w:r>
      <w:r>
        <w:t>хеме 0-1-2-12 (1-я доза - в момент начала вакцинации, 2-я доза - через месяц после 1-й прививки, 3-я доза - через 2 месяца от начала вакцинации, 4-я доза - через 12 месяцев от начала вакцинации).</w:t>
      </w:r>
    </w:p>
    <w:p w:rsidR="00000000" w:rsidRDefault="001670F1">
      <w:bookmarkStart w:id="71" w:name="sub_3012"/>
      <w:r>
        <w:t>12. Против полиомиелита первая, вторая, третья вакци</w:t>
      </w:r>
      <w:r>
        <w:t>нации детям 3 месяцев, 4,5 месяцев, 6 месяцев жизни и первая ревакцинация против полиомиелита детям 18 месяцев жизни проводятся вакциной для профилактики полиомиелита (инактивированной); вторая и третья ревакцинации против полиомиелита детям 20 месяцев и 6</w:t>
      </w:r>
      <w:r>
        <w:t xml:space="preserve"> лет проводятся вакциной для профилактики полиомиелита (живой).</w:t>
      </w:r>
    </w:p>
    <w:bookmarkEnd w:id="71"/>
    <w:p w:rsidR="00000000" w:rsidRDefault="001670F1">
      <w:r>
        <w:t>Дети, относящиеся к группе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</w:t>
      </w:r>
      <w:r>
        <w:t>ной инфекцией; с аномалиями развития кишечника; с онкологическими заболеваниями и/или длительно получающим иммуносупрессивную терапию; дети, рожденные от матерей с ВИЧ-инфекцией; дети с ВИЧ-инфекцией; недоношенные и маловесные дети; дети, находящиеся в дом</w:t>
      </w:r>
      <w:r>
        <w:t>ах ребенка), подлежат второй и третьей ревакцинации против полиомиелита в 20 месяцев и 6 лет вакциной для профилактики полиомиелита (инактивированной).</w:t>
      </w:r>
    </w:p>
    <w:p w:rsidR="00000000" w:rsidRDefault="001670F1">
      <w:bookmarkStart w:id="72" w:name="sub_3013"/>
      <w:r>
        <w:t>13. Вакцинация против полиомиелита по эпидемическим показаниям проводится вакциной для профилакт</w:t>
      </w:r>
      <w:r>
        <w:t>ики полиомиелита (живой) и вакциной для профилактики полиомиелита (инактивированной). Показаниями для проведения вакцинации по эпидемическим показаниям являются: регистрация заболеваний полиомиелитом, вызванных диким или вакцинородственным полиовирусом, вы</w:t>
      </w:r>
      <w:r>
        <w:t>деление дикого или вакцинородственного полиовируса в биологическом материале человека или из объектов окружающей среды, а также при подтвержденной циркуляции дикого или вакцинородственного полиовируса.</w:t>
      </w:r>
    </w:p>
    <w:p w:rsidR="00000000" w:rsidRDefault="001670F1">
      <w:bookmarkStart w:id="73" w:name="sub_3014"/>
      <w:bookmarkEnd w:id="72"/>
      <w:r>
        <w:t>14. Вакцинация детей от 12 до 17 лет (</w:t>
      </w:r>
      <w:r>
        <w:t>включительно) против коронавирусной инфекции, вызываемой вирусом SARS-CoV-2, проводится добровольно по письменному заявлению одного из родителей (или иного законного представителя).</w:t>
      </w:r>
    </w:p>
    <w:bookmarkEnd w:id="73"/>
    <w:p w:rsidR="00000000" w:rsidRDefault="001670F1"/>
    <w:p w:rsidR="00000000" w:rsidRDefault="001670F1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670F1">
      <w:bookmarkStart w:id="74" w:name="sub_3111"/>
      <w:r>
        <w:rPr>
          <w:vertAlign w:val="superscript"/>
        </w:rPr>
        <w:t>1</w:t>
      </w:r>
      <w:r>
        <w:t xml:space="preserve"> Собрание законодательств</w:t>
      </w:r>
      <w:r>
        <w:t>а Российской Федерации, 2011, N 48, ст. 6724; 2021, N 27, ст. 5159.</w:t>
      </w:r>
    </w:p>
    <w:p w:rsidR="00000000" w:rsidRDefault="001670F1">
      <w:bookmarkStart w:id="75" w:name="sub_3222"/>
      <w:bookmarkEnd w:id="74"/>
      <w:r>
        <w:rPr>
          <w:vertAlign w:val="superscript"/>
        </w:rPr>
        <w:t>2</w:t>
      </w:r>
      <w:r>
        <w:t xml:space="preserve"> </w:t>
      </w:r>
      <w:hyperlink r:id="rId20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 252н "Об утверждении Порядка воз</w:t>
      </w:r>
      <w:r>
        <w:t>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</w:t>
      </w:r>
      <w:r>
        <w:t xml:space="preserve">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</w:t>
      </w:r>
      <w:r>
        <w:t xml:space="preserve">012 г., регистрационный N 23971), с </w:t>
      </w:r>
      <w:hyperlink r:id="rId21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</w:t>
      </w:r>
      <w:r>
        <w:lastRenderedPageBreak/>
        <w:t>здравоохранения Российской Федерации от 31 октября 2017 г. N 882н (зарегистрирован Министерством юс</w:t>
      </w:r>
      <w:r>
        <w:t>тиции Российской Федерации 9 января 2018 г., регистрационный N 49561).</w:t>
      </w:r>
    </w:p>
    <w:p w:rsidR="00000000" w:rsidRDefault="001670F1">
      <w:bookmarkStart w:id="76" w:name="sub_3333"/>
      <w:bookmarkEnd w:id="75"/>
      <w:r>
        <w:rPr>
          <w:vertAlign w:val="superscript"/>
        </w:rPr>
        <w:t>3</w:t>
      </w:r>
      <w:r>
        <w:t xml:space="preserve"> </w:t>
      </w:r>
      <w:hyperlink r:id="rId23" w:history="1">
        <w:r>
          <w:rPr>
            <w:rStyle w:val="a4"/>
          </w:rPr>
          <w:t>Абзац шестой пункта 13</w:t>
        </w:r>
      </w:hyperlink>
      <w:r>
        <w:t xml:space="preserve"> Положения о разграничении полномочий федеральных органов исполнительной власти в области обеспечения био</w:t>
      </w:r>
      <w:r>
        <w:t xml:space="preserve">логической и химической безопасности Российской Федерации, утвержденного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2005 г. N 303 (Собрание законодательства Российской Федерации, 2005, N 21, ст. 2023).</w:t>
      </w:r>
    </w:p>
    <w:bookmarkEnd w:id="76"/>
    <w:p w:rsidR="001670F1" w:rsidRDefault="001670F1"/>
    <w:sectPr w:rsidR="001670F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41"/>
    <w:rsid w:val="001670F1"/>
    <w:rsid w:val="00F0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8269A3-F08C-46E4-AD2A-4289AE0E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2436.15293" TargetMode="External"/><Relationship Id="rId13" Type="http://schemas.openxmlformats.org/officeDocument/2006/relationships/hyperlink" Target="garantF1://403381186.0" TargetMode="External"/><Relationship Id="rId18" Type="http://schemas.openxmlformats.org/officeDocument/2006/relationships/hyperlink" Target="garantF1://4080785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1750496.1002" TargetMode="External"/><Relationship Id="rId7" Type="http://schemas.openxmlformats.org/officeDocument/2006/relationships/hyperlink" Target="garantF1://12013020.10" TargetMode="External"/><Relationship Id="rId12" Type="http://schemas.openxmlformats.org/officeDocument/2006/relationships/hyperlink" Target="garantF1://403381186.1000" TargetMode="External"/><Relationship Id="rId17" Type="http://schemas.openxmlformats.org/officeDocument/2006/relationships/hyperlink" Target="garantF1://4080785.9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4078356.0" TargetMode="External"/><Relationship Id="rId20" Type="http://schemas.openxmlformats.org/officeDocument/2006/relationships/hyperlink" Target="garantF1://7007058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3020.9" TargetMode="External"/><Relationship Id="rId11" Type="http://schemas.openxmlformats.org/officeDocument/2006/relationships/hyperlink" Target="garantF1://70092436.0" TargetMode="External"/><Relationship Id="rId24" Type="http://schemas.openxmlformats.org/officeDocument/2006/relationships/hyperlink" Target="garantF1://12040131.0" TargetMode="External"/><Relationship Id="rId5" Type="http://schemas.openxmlformats.org/officeDocument/2006/relationships/hyperlink" Target="garantF1://12013020.1" TargetMode="External"/><Relationship Id="rId15" Type="http://schemas.openxmlformats.org/officeDocument/2006/relationships/hyperlink" Target="garantF1://74532122.0" TargetMode="External"/><Relationship Id="rId23" Type="http://schemas.openxmlformats.org/officeDocument/2006/relationships/hyperlink" Target="garantF1://12040131.10136" TargetMode="External"/><Relationship Id="rId10" Type="http://schemas.openxmlformats.org/officeDocument/2006/relationships/hyperlink" Target="garantF1://70092436.52941" TargetMode="External"/><Relationship Id="rId19" Type="http://schemas.openxmlformats.org/officeDocument/2006/relationships/hyperlink" Target="garantF1://12091967.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92436.15294" TargetMode="External"/><Relationship Id="rId14" Type="http://schemas.openxmlformats.org/officeDocument/2006/relationships/hyperlink" Target="garantF1://74532122.1000" TargetMode="External"/><Relationship Id="rId22" Type="http://schemas.openxmlformats.org/officeDocument/2006/relationships/hyperlink" Target="garantF1://717504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Pluto</cp:lastModifiedBy>
  <cp:revision>2</cp:revision>
  <dcterms:created xsi:type="dcterms:W3CDTF">2022-04-15T01:11:00Z</dcterms:created>
  <dcterms:modified xsi:type="dcterms:W3CDTF">2022-04-15T01:11:00Z</dcterms:modified>
</cp:coreProperties>
</file>